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6" w:space="0"/>
        </w:pBdr>
        <w:jc w:val="both"/>
        <w:rPr>
          <w:rFonts w:hint="eastAsia" w:ascii="楷体_GB2312" w:hAnsi="宋体" w:eastAsia="楷体_GB2312"/>
          <w:b/>
          <w:spacing w:val="10"/>
          <w:sz w:val="28"/>
          <w:szCs w:val="28"/>
        </w:rPr>
      </w:pPr>
      <w:bookmarkStart w:id="0" w:name="OLE_LINK1"/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drawing>
          <wp:inline distT="0" distB="0" distL="114300" distR="114300">
            <wp:extent cx="1959610" cy="1010920"/>
            <wp:effectExtent l="0" t="0" r="2540" b="17780"/>
            <wp:docPr id="2" name="图片 1" descr="ICTC 2017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TC 2017logo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tab/>
      </w:r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t xml:space="preserve">  </w:t>
      </w:r>
      <w:r>
        <w:rPr>
          <w:rFonts w:hint="eastAsia" w:ascii="Arial" w:hAnsi="Arial" w:eastAsia="楷体_GB2312" w:cs="Arial"/>
          <w:b/>
          <w:spacing w:val="10"/>
          <w:sz w:val="28"/>
          <w:szCs w:val="28"/>
        </w:rPr>
        <w:t>第二十</w:t>
      </w:r>
      <w:r>
        <w:rPr>
          <w:rFonts w:hint="eastAsia" w:ascii="Arial" w:hAnsi="Arial" w:eastAsia="楷体_GB2312" w:cs="Arial"/>
          <w:b/>
          <w:spacing w:val="10"/>
          <w:sz w:val="28"/>
          <w:szCs w:val="28"/>
          <w:lang w:eastAsia="zh-CN"/>
        </w:rPr>
        <w:t>五</w:t>
      </w:r>
      <w:r>
        <w:rPr>
          <w:rFonts w:hint="eastAsia" w:ascii="Arial" w:hAnsi="Arial" w:eastAsia="楷体_GB2312" w:cs="Arial"/>
          <w:b/>
          <w:spacing w:val="10"/>
          <w:sz w:val="28"/>
          <w:szCs w:val="28"/>
        </w:rPr>
        <w:t>届国际媒体融合技术研讨会</w:t>
      </w:r>
    </w:p>
    <w:p>
      <w:pPr>
        <w:pStyle w:val="2"/>
        <w:pBdr>
          <w:bottom w:val="single" w:color="auto" w:sz="6" w:space="0"/>
        </w:pBdr>
        <w:wordWrap w:val="0"/>
        <w:jc w:val="right"/>
        <w:rPr>
          <w:rFonts w:ascii="Arial Unicode MS" w:hAnsi="Arial Unicode MS" w:eastAsia="Arial Unicode MS" w:cs="Arial Unicode MS"/>
          <w:b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/>
          <w:sz w:val="24"/>
          <w:szCs w:val="24"/>
        </w:rPr>
        <w:t>201</w:t>
      </w:r>
      <w:r>
        <w:rPr>
          <w:rFonts w:hint="eastAsia" w:ascii="Arial Unicode MS" w:hAnsi="Arial Unicode MS" w:eastAsia="Arial Unicode MS" w:cs="Arial Unicode MS"/>
          <w:b/>
          <w:sz w:val="24"/>
          <w:szCs w:val="24"/>
          <w:lang w:val="en-US" w:eastAsia="zh-CN"/>
        </w:rPr>
        <w:t>7</w:t>
      </w:r>
      <w:r>
        <w:rPr>
          <w:rFonts w:hint="eastAsia" w:ascii="Arial Unicode MS" w:hAnsi="Arial Unicode MS" w:eastAsia="Arial Unicode MS" w:cs="Arial Unicode MS"/>
          <w:b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sz w:val="24"/>
          <w:szCs w:val="24"/>
        </w:rPr>
        <w:t xml:space="preserve">International Conference </w:t>
      </w:r>
      <w:r>
        <w:rPr>
          <w:rFonts w:hint="eastAsia" w:ascii="Arial Unicode MS" w:hAnsi="Arial Unicode MS" w:eastAsia="Arial Unicode MS" w:cs="Arial Unicode MS"/>
          <w:b/>
          <w:sz w:val="24"/>
          <w:szCs w:val="24"/>
        </w:rPr>
        <w:t xml:space="preserve">on </w:t>
      </w:r>
      <w:r>
        <w:rPr>
          <w:rFonts w:ascii="Arial Unicode MS" w:hAnsi="Arial Unicode MS" w:eastAsia="Arial Unicode MS" w:cs="Arial Unicode MS"/>
          <w:b/>
          <w:sz w:val="24"/>
          <w:szCs w:val="24"/>
        </w:rPr>
        <w:t xml:space="preserve">Technology </w:t>
      </w:r>
      <w:r>
        <w:rPr>
          <w:rFonts w:hint="eastAsia" w:ascii="Arial Unicode MS" w:hAnsi="Arial Unicode MS" w:eastAsia="Arial Unicode MS" w:cs="Arial Unicode MS"/>
          <w:b/>
          <w:sz w:val="24"/>
          <w:szCs w:val="24"/>
        </w:rPr>
        <w:t>C</w:t>
      </w:r>
      <w:r>
        <w:rPr>
          <w:rFonts w:ascii="Arial Unicode MS" w:hAnsi="Arial Unicode MS" w:eastAsia="Arial Unicode MS" w:cs="Arial Unicode MS"/>
          <w:b/>
          <w:sz w:val="24"/>
          <w:szCs w:val="24"/>
        </w:rPr>
        <w:t>onvergence</w:t>
      </w:r>
    </w:p>
    <w:p>
      <w:pPr>
        <w:pStyle w:val="2"/>
        <w:pBdr>
          <w:bottom w:val="single" w:color="auto" w:sz="6" w:space="0"/>
        </w:pBdr>
        <w:wordWrap w:val="0"/>
        <w:jc w:val="right"/>
        <w:rPr>
          <w:rFonts w:hint="eastAsia" w:ascii="Arial Unicode MS" w:hAnsi="Arial Unicode MS" w:cs="Arial Unicode MS"/>
          <w:b/>
          <w:sz w:val="21"/>
          <w:szCs w:val="21"/>
        </w:rPr>
      </w:pPr>
      <w:r>
        <w:rPr>
          <w:rFonts w:hint="eastAsia" w:ascii="Arial" w:hAnsi="Arial" w:cs="Arial"/>
          <w:b/>
          <w:sz w:val="21"/>
          <w:szCs w:val="21"/>
        </w:rPr>
        <w:t>1</w:t>
      </w:r>
      <w:r>
        <w:rPr>
          <w:rFonts w:hint="eastAsia" w:ascii="Arial" w:hAnsi="Arial" w:eastAsia="MS Mincho" w:cs="Arial"/>
          <w:b/>
          <w:sz w:val="21"/>
          <w:szCs w:val="21"/>
          <w:lang w:val="en-US" w:eastAsia="ja-JP"/>
        </w:rPr>
        <w:t>1</w:t>
      </w:r>
      <w:r>
        <w:rPr>
          <w:rFonts w:hint="eastAsia" w:ascii="Arial" w:hAnsi="Arial" w:cs="Arial"/>
          <w:b/>
          <w:sz w:val="21"/>
          <w:szCs w:val="21"/>
        </w:rPr>
        <w:t>月</w:t>
      </w:r>
      <w:r>
        <w:rPr>
          <w:rFonts w:hint="eastAsia" w:ascii="Arial" w:hAnsi="Arial" w:eastAsia="MS Mincho" w:cs="Arial"/>
          <w:b/>
          <w:sz w:val="21"/>
          <w:szCs w:val="21"/>
          <w:lang w:val="en-US" w:eastAsia="ja-JP"/>
        </w:rPr>
        <w:t>14</w:t>
      </w:r>
      <w:r>
        <w:rPr>
          <w:rFonts w:hint="eastAsia" w:ascii="Arial" w:hAnsi="Arial" w:cs="Arial"/>
          <w:b/>
          <w:sz w:val="21"/>
          <w:szCs w:val="21"/>
        </w:rPr>
        <w:t>-</w:t>
      </w:r>
      <w:r>
        <w:rPr>
          <w:rFonts w:hint="eastAsia" w:ascii="Arial" w:hAnsi="Arial" w:eastAsia="MS Mincho" w:cs="Arial"/>
          <w:b/>
          <w:sz w:val="21"/>
          <w:szCs w:val="21"/>
          <w:lang w:val="en-US" w:eastAsia="ja-JP"/>
        </w:rPr>
        <w:t>1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>8</w:t>
      </w:r>
      <w:r>
        <w:rPr>
          <w:rFonts w:hint="eastAsia" w:ascii="Arial Unicode MS" w:hAnsi="Arial Unicode MS" w:cs="Arial Unicode MS"/>
          <w:b/>
          <w:sz w:val="21"/>
          <w:szCs w:val="21"/>
        </w:rPr>
        <w:t>日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 xml:space="preserve">• </w:t>
      </w:r>
      <w:r>
        <w:rPr>
          <w:rFonts w:hint="eastAsia" w:ascii="Arial Unicode MS" w:hAnsi="Arial Unicode MS" w:cs="Arial Unicode MS"/>
          <w:b/>
          <w:sz w:val="21"/>
          <w:szCs w:val="21"/>
        </w:rPr>
        <w:t>中国</w:t>
      </w:r>
      <w:r>
        <w:rPr>
          <w:rFonts w:hint="eastAsia" w:ascii="Arial Unicode MS" w:hAnsi="Arial Unicode MS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•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cs="Arial Unicode MS"/>
          <w:b/>
          <w:sz w:val="21"/>
          <w:szCs w:val="21"/>
        </w:rPr>
        <w:t>杭州</w:t>
      </w:r>
      <w:r>
        <w:rPr>
          <w:rFonts w:hint="eastAsia" w:ascii="Arial Unicode MS" w:hAnsi="Arial Unicode MS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•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eastAsia="zh-CN"/>
        </w:rPr>
        <w:t>黄龙饭店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•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val="en-US" w:eastAsia="zh-CN"/>
        </w:rPr>
        <w:t xml:space="preserve"> 浙江世贸国际展览中心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楷体" w:eastAsia="仿宋_GB2312" w:cs="Raavi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楷体" w:eastAsia="仿宋_GB2312" w:cs="Raavi"/>
          <w:b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Raavi"/>
          <w:b/>
          <w:sz w:val="32"/>
          <w:szCs w:val="32"/>
        </w:rPr>
        <w:t>ICTC·201</w:t>
      </w:r>
      <w:r>
        <w:rPr>
          <w:rFonts w:hint="eastAsia" w:ascii="仿宋_GB2312" w:hAnsi="华文楷体" w:eastAsia="仿宋_GB2312" w:cs="Raavi"/>
          <w:b/>
          <w:sz w:val="32"/>
          <w:szCs w:val="32"/>
          <w:lang w:val="en-US" w:eastAsia="zh-CN"/>
        </w:rPr>
        <w:t>7报告、展示、赞助申请</w:t>
      </w:r>
      <w:bookmarkStart w:id="1" w:name="_GoBack"/>
      <w:bookmarkEnd w:id="1"/>
      <w:r>
        <w:rPr>
          <w:rFonts w:hint="eastAsia" w:ascii="仿宋_GB2312" w:hAnsi="华文楷体" w:eastAsia="仿宋_GB2312" w:cs="Raavi"/>
          <w:b/>
          <w:sz w:val="32"/>
          <w:szCs w:val="32"/>
          <w:lang w:val="en-US"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我公司申请项目具体如下：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yellow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yellow"/>
          <w:lang w:val="en-US" w:eastAsia="zh-CN" w:bidi="ar-SA"/>
        </w:rPr>
        <w:t>报告申请</w:t>
      </w:r>
    </w:p>
    <w:tbl>
      <w:tblPr>
        <w:tblStyle w:val="6"/>
        <w:tblW w:w="8794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373"/>
        <w:gridCol w:w="1470"/>
        <w:gridCol w:w="130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3373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论坛</w:t>
            </w:r>
          </w:p>
        </w:tc>
        <w:tc>
          <w:tcPr>
            <w:tcW w:w="1470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报告时长</w:t>
            </w:r>
          </w:p>
        </w:tc>
        <w:tc>
          <w:tcPr>
            <w:tcW w:w="1305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249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11月15日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主题报告会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11月16日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智慧广电与安全论坛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30分钟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媒体融合论坛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广电无线论坛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TVOS与智能终端论坛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11月17日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广电宽带论坛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超高清电视与版权保护论坛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广电公共服务与应急广播论坛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广电市场营销论坛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广电工程与运维论坛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智慧家庭与智慧城市论坛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产学研用融合创新论坛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广电市场营销论坛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11月18日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智慧乡村论坛（乌镇）</w:t>
            </w:r>
          </w:p>
        </w:tc>
        <w:tc>
          <w:tcPr>
            <w:tcW w:w="14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报告题目：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报告人姓名：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职务：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单位：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报告内容简介：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yellow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yellow"/>
          <w:lang w:val="en-US" w:eastAsia="zh-CN" w:bidi="ar-SA"/>
        </w:rPr>
        <w:t>展位申请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展位号：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面积：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费用：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本公司主要经营产品：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本公司展出的新产品：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yellow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yellow"/>
          <w:lang w:val="en-US" w:eastAsia="zh-CN" w:bidi="ar-SA"/>
        </w:rPr>
        <w:t>赞助申请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赞助项目：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lang w:val="en-US" w:eastAsia="zh-CN" w:bidi="ar-SA"/>
        </w:rPr>
        <w:t>（请勾选以下项目并在划线部分写下具体项目的对应编号）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会刊广告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 xml:space="preserve">会议主要赞助商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 xml:space="preserve">会场标语广告   </w:t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单品赞助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具体赞助项目编号：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u w:val="dottedHeavy"/>
          <w:lang w:val="en-US" w:eastAsia="zh-CN" w:bidi="ar-SA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highlight w:val="yellow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yellow"/>
          <w:lang w:val="en-US" w:eastAsia="zh-CN" w:bidi="ar-SA"/>
        </w:rPr>
        <w:t>☆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highlight w:val="yellow"/>
          <w:u w:val="none"/>
          <w:lang w:val="en-US" w:eastAsia="zh-CN" w:bidi="ar-SA"/>
        </w:rPr>
        <w:t>申请人信息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联系人：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联系电话：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单</w:t>
      </w:r>
      <w:r>
        <w:rPr>
          <w:rFonts w:hint="eastAsia" w:ascii="仿宋_GB2312" w:hAnsi="华文楷体" w:eastAsia="MS Mincho" w:cs="Raavi"/>
          <w:b/>
          <w:kern w:val="2"/>
          <w:sz w:val="26"/>
          <w:szCs w:val="26"/>
          <w:u w:val="none"/>
          <w:lang w:val="en-US" w:eastAsia="ja-JP" w:bidi="ar-SA"/>
        </w:rPr>
        <w:t>　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位：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Email: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t>备注：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begin"/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instrText xml:space="preserve"> HYPERLINK "mailto:此回执仅代表预订意向，确认以协议书为准。请将此回执填写好后，回传至ICTC组委会8610-86092922或回复至ictc@ictc.com.cn，以示预订。" </w:instrTex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separate"/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t>此回执仅代表预订意向，确认以协议书为准。请将此回执填写好后，回传至ICTC组委会8610-86092922或回复至ictc@ictc.com.cn，以示预订。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aavi">
    <w:panose1 w:val="020B0502040204020203"/>
    <w:charset w:val="00"/>
    <w:family w:val="swiss"/>
    <w:pitch w:val="default"/>
    <w:sig w:usb0="0002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4694"/>
    <w:rsid w:val="020D0027"/>
    <w:rsid w:val="09A7419A"/>
    <w:rsid w:val="1B6A7BC4"/>
    <w:rsid w:val="214F4A72"/>
    <w:rsid w:val="2C624694"/>
    <w:rsid w:val="3ED21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2017-09-12T06:45:00Z</dcterms:created>
  <dc:creator>Administrator</dc:creator>
  <cp:lastModifiedBy>Administrator</cp:lastModifiedBy>
  <cp:lastPrinted>2017-09-13T08:59:09Z</cp:lastPrinted>
  <dcterms:modified xsi:type="dcterms:W3CDTF">2017-09-13T08:59:49Z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